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23EC" w14:textId="2EDAFFE3" w:rsidR="00047522" w:rsidRDefault="00047522" w:rsidP="00047522">
      <w:pPr>
        <w:spacing w:before="120" w:after="0" w:line="240" w:lineRule="auto"/>
        <w:jc w:val="both"/>
        <w:rPr>
          <w:rFonts w:ascii="Arial Narrow" w:eastAsia="Times New Roman" w:hAnsi="Arial Narrow" w:cs="Arial Narrow"/>
          <w:b/>
          <w:bCs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Arial Narrow"/>
          <w:b/>
          <w:bCs/>
          <w:kern w:val="0"/>
          <w:sz w:val="24"/>
          <w:szCs w:val="24"/>
          <w:lang w:eastAsia="hu-HU"/>
          <w14:ligatures w14:val="none"/>
        </w:rPr>
        <w:t>A Terézvárosi Gondozó Szolgálat alaptevékenysége, feladat és hatásköre</w:t>
      </w:r>
    </w:p>
    <w:p w14:paraId="6BB99C51" w14:textId="77777777" w:rsidR="00047522" w:rsidRPr="00047522" w:rsidRDefault="00047522" w:rsidP="00047522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0" w:line="240" w:lineRule="auto"/>
        <w:ind w:left="576" w:hanging="576"/>
        <w:jc w:val="both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</w:pPr>
      <w:bookmarkStart w:id="0" w:name="_Toc201145403"/>
      <w:r w:rsidRPr="00047522"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  <w:t>Az intézmény tevékenységei:</w:t>
      </w:r>
      <w:bookmarkEnd w:id="0"/>
    </w:p>
    <w:tbl>
      <w:tblPr>
        <w:tblW w:w="10047" w:type="dxa"/>
        <w:tblLook w:val="04A0" w:firstRow="1" w:lastRow="0" w:firstColumn="1" w:lastColumn="0" w:noHBand="0" w:noVBand="1"/>
      </w:tblPr>
      <w:tblGrid>
        <w:gridCol w:w="4525"/>
        <w:gridCol w:w="5522"/>
      </w:tblGrid>
      <w:tr w:rsidR="00047522" w:rsidRPr="00047522" w14:paraId="2DB0F8A3" w14:textId="77777777" w:rsidTr="002C24B5">
        <w:trPr>
          <w:trHeight w:val="398"/>
        </w:trPr>
        <w:tc>
          <w:tcPr>
            <w:tcW w:w="10047" w:type="dxa"/>
            <w:gridSpan w:val="2"/>
            <w:shd w:val="clear" w:color="auto" w:fill="D9D9D9"/>
            <w:hideMark/>
          </w:tcPr>
          <w:p w14:paraId="4AAEC463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költségvetési szerv főtevékenységének államháztartási szakágazati besorolása</w:t>
            </w:r>
          </w:p>
        </w:tc>
      </w:tr>
      <w:tr w:rsidR="00047522" w:rsidRPr="00047522" w14:paraId="6C43B711" w14:textId="77777777" w:rsidTr="002C24B5">
        <w:trPr>
          <w:trHeight w:val="398"/>
        </w:trPr>
        <w:tc>
          <w:tcPr>
            <w:tcW w:w="4525" w:type="dxa"/>
            <w:shd w:val="clear" w:color="auto" w:fill="F2F2F2"/>
            <w:hideMark/>
          </w:tcPr>
          <w:p w14:paraId="793F438D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Szakágazati besorolás száma</w:t>
            </w:r>
          </w:p>
        </w:tc>
        <w:tc>
          <w:tcPr>
            <w:tcW w:w="5522" w:type="dxa"/>
            <w:shd w:val="clear" w:color="auto" w:fill="F2F2F2"/>
            <w:hideMark/>
          </w:tcPr>
          <w:p w14:paraId="0B0F7D39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Szakágazati besorolás megnevezése</w:t>
            </w:r>
          </w:p>
        </w:tc>
      </w:tr>
      <w:tr w:rsidR="00047522" w:rsidRPr="00047522" w14:paraId="09116253" w14:textId="77777777" w:rsidTr="002C24B5">
        <w:trPr>
          <w:trHeight w:val="398"/>
        </w:trPr>
        <w:tc>
          <w:tcPr>
            <w:tcW w:w="4525" w:type="dxa"/>
            <w:shd w:val="clear" w:color="auto" w:fill="auto"/>
            <w:hideMark/>
          </w:tcPr>
          <w:p w14:paraId="7CD2EC53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881000</w:t>
            </w:r>
          </w:p>
        </w:tc>
        <w:tc>
          <w:tcPr>
            <w:tcW w:w="5522" w:type="dxa"/>
            <w:shd w:val="clear" w:color="auto" w:fill="auto"/>
            <w:hideMark/>
          </w:tcPr>
          <w:p w14:paraId="42C134BF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Idősek, fogyatékossággal élők szociális ellátása bentlakás nélkül</w:t>
            </w:r>
          </w:p>
        </w:tc>
      </w:tr>
      <w:tr w:rsidR="00047522" w:rsidRPr="00047522" w14:paraId="4144B1FA" w14:textId="77777777" w:rsidTr="002C24B5">
        <w:trPr>
          <w:trHeight w:val="398"/>
        </w:trPr>
        <w:tc>
          <w:tcPr>
            <w:tcW w:w="10047" w:type="dxa"/>
            <w:gridSpan w:val="2"/>
            <w:shd w:val="clear" w:color="auto" w:fill="D9D9D9"/>
            <w:hideMark/>
          </w:tcPr>
          <w:p w14:paraId="7AF5C2F2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Főtevékenység TEÁOR besorolása</w:t>
            </w:r>
          </w:p>
        </w:tc>
      </w:tr>
      <w:tr w:rsidR="00047522" w:rsidRPr="00047522" w14:paraId="43C20B3B" w14:textId="77777777" w:rsidTr="002C24B5">
        <w:trPr>
          <w:trHeight w:val="398"/>
        </w:trPr>
        <w:tc>
          <w:tcPr>
            <w:tcW w:w="4525" w:type="dxa"/>
            <w:shd w:val="clear" w:color="auto" w:fill="F2F2F2"/>
            <w:hideMark/>
          </w:tcPr>
          <w:p w14:paraId="036CAB9A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TEÁOR száma</w:t>
            </w:r>
          </w:p>
        </w:tc>
        <w:tc>
          <w:tcPr>
            <w:tcW w:w="5522" w:type="dxa"/>
            <w:shd w:val="clear" w:color="auto" w:fill="F2F2F2"/>
            <w:hideMark/>
          </w:tcPr>
          <w:p w14:paraId="7AFFD602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TEÁOR szerinti megnevezése</w:t>
            </w:r>
          </w:p>
        </w:tc>
      </w:tr>
      <w:tr w:rsidR="00047522" w:rsidRPr="00047522" w14:paraId="67230CF3" w14:textId="77777777" w:rsidTr="002C24B5">
        <w:trPr>
          <w:trHeight w:val="398"/>
        </w:trPr>
        <w:tc>
          <w:tcPr>
            <w:tcW w:w="4525" w:type="dxa"/>
            <w:shd w:val="clear" w:color="auto" w:fill="auto"/>
            <w:hideMark/>
          </w:tcPr>
          <w:p w14:paraId="06359DB2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8810</w:t>
            </w:r>
          </w:p>
        </w:tc>
        <w:tc>
          <w:tcPr>
            <w:tcW w:w="5522" w:type="dxa"/>
            <w:shd w:val="clear" w:color="auto" w:fill="auto"/>
            <w:hideMark/>
          </w:tcPr>
          <w:p w14:paraId="51EF5F2C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Idősek, fogyatékossággal élők szociális ellátása, bentlakás nélkül</w:t>
            </w:r>
          </w:p>
        </w:tc>
      </w:tr>
      <w:tr w:rsidR="00047522" w:rsidRPr="00047522" w14:paraId="1C04BE56" w14:textId="77777777" w:rsidTr="002C24B5">
        <w:trPr>
          <w:trHeight w:val="398"/>
        </w:trPr>
        <w:tc>
          <w:tcPr>
            <w:tcW w:w="10047" w:type="dxa"/>
            <w:gridSpan w:val="2"/>
            <w:shd w:val="clear" w:color="auto" w:fill="D9D9D9"/>
            <w:hideMark/>
          </w:tcPr>
          <w:p w14:paraId="46B4AAAE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költségvetési szerv alaptevékenységének kormányzati funkció szerinti besorolása</w:t>
            </w:r>
          </w:p>
        </w:tc>
      </w:tr>
      <w:tr w:rsidR="00047522" w:rsidRPr="00047522" w14:paraId="0F8DB84C" w14:textId="77777777" w:rsidTr="002C24B5">
        <w:trPr>
          <w:trHeight w:val="398"/>
        </w:trPr>
        <w:tc>
          <w:tcPr>
            <w:tcW w:w="4525" w:type="dxa"/>
            <w:shd w:val="clear" w:color="auto" w:fill="F2F2F2"/>
            <w:hideMark/>
          </w:tcPr>
          <w:p w14:paraId="7D06BD02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Kormányzati funkció szerinti besorolás száma</w:t>
            </w:r>
          </w:p>
        </w:tc>
        <w:tc>
          <w:tcPr>
            <w:tcW w:w="5522" w:type="dxa"/>
            <w:shd w:val="clear" w:color="auto" w:fill="F2F2F2"/>
            <w:hideMark/>
          </w:tcPr>
          <w:p w14:paraId="068DF8C8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Kormányzati funkció szerinti besorolás megnevezése</w:t>
            </w:r>
          </w:p>
        </w:tc>
      </w:tr>
      <w:tr w:rsidR="00047522" w:rsidRPr="00047522" w14:paraId="1C19203B" w14:textId="77777777" w:rsidTr="002C24B5">
        <w:trPr>
          <w:trHeight w:val="398"/>
        </w:trPr>
        <w:tc>
          <w:tcPr>
            <w:tcW w:w="4525" w:type="dxa"/>
            <w:vAlign w:val="center"/>
            <w:hideMark/>
          </w:tcPr>
          <w:p w14:paraId="4AE3F275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013360</w:t>
            </w:r>
          </w:p>
        </w:tc>
        <w:tc>
          <w:tcPr>
            <w:tcW w:w="5522" w:type="dxa"/>
            <w:hideMark/>
          </w:tcPr>
          <w:p w14:paraId="25D94AD9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Más szerv részére végzett pénzügyi-gazdálkodási, üzemeltetési, szolgáltatások</w:t>
            </w:r>
          </w:p>
        </w:tc>
      </w:tr>
      <w:tr w:rsidR="00047522" w:rsidRPr="00047522" w14:paraId="66E23729" w14:textId="77777777" w:rsidTr="002C24B5">
        <w:trPr>
          <w:trHeight w:val="398"/>
        </w:trPr>
        <w:tc>
          <w:tcPr>
            <w:tcW w:w="4525" w:type="dxa"/>
          </w:tcPr>
          <w:p w14:paraId="0AF63028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101222</w:t>
            </w:r>
          </w:p>
        </w:tc>
        <w:tc>
          <w:tcPr>
            <w:tcW w:w="5522" w:type="dxa"/>
          </w:tcPr>
          <w:p w14:paraId="21A23544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Támogató szolgáltatás fogyatékos személyek részére</w:t>
            </w:r>
          </w:p>
        </w:tc>
      </w:tr>
      <w:tr w:rsidR="00047522" w:rsidRPr="00047522" w14:paraId="6A191629" w14:textId="77777777" w:rsidTr="002C24B5">
        <w:trPr>
          <w:trHeight w:val="398"/>
        </w:trPr>
        <w:tc>
          <w:tcPr>
            <w:tcW w:w="4525" w:type="dxa"/>
          </w:tcPr>
          <w:p w14:paraId="0F6B0859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102031</w:t>
            </w:r>
          </w:p>
        </w:tc>
        <w:tc>
          <w:tcPr>
            <w:tcW w:w="5522" w:type="dxa"/>
          </w:tcPr>
          <w:p w14:paraId="182BF9C1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Idősek nappali ellátása</w:t>
            </w:r>
          </w:p>
        </w:tc>
      </w:tr>
      <w:tr w:rsidR="00047522" w:rsidRPr="00047522" w14:paraId="52782ECF" w14:textId="77777777" w:rsidTr="002C24B5">
        <w:trPr>
          <w:trHeight w:val="398"/>
        </w:trPr>
        <w:tc>
          <w:tcPr>
            <w:tcW w:w="4525" w:type="dxa"/>
          </w:tcPr>
          <w:p w14:paraId="5F7413CF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107051</w:t>
            </w:r>
          </w:p>
        </w:tc>
        <w:tc>
          <w:tcPr>
            <w:tcW w:w="5522" w:type="dxa"/>
          </w:tcPr>
          <w:p w14:paraId="0328E224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Szociális étkeztetés</w:t>
            </w:r>
          </w:p>
        </w:tc>
      </w:tr>
      <w:tr w:rsidR="00047522" w:rsidRPr="00047522" w14:paraId="0B99F689" w14:textId="77777777" w:rsidTr="002C24B5">
        <w:trPr>
          <w:trHeight w:val="398"/>
        </w:trPr>
        <w:tc>
          <w:tcPr>
            <w:tcW w:w="4525" w:type="dxa"/>
          </w:tcPr>
          <w:p w14:paraId="67A889B9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107052</w:t>
            </w:r>
          </w:p>
        </w:tc>
        <w:tc>
          <w:tcPr>
            <w:tcW w:w="5522" w:type="dxa"/>
          </w:tcPr>
          <w:p w14:paraId="47B87CD6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Házi segítségnyújtás</w:t>
            </w:r>
          </w:p>
        </w:tc>
      </w:tr>
      <w:tr w:rsidR="00047522" w:rsidRPr="00047522" w14:paraId="373E16AC" w14:textId="77777777" w:rsidTr="002C24B5">
        <w:trPr>
          <w:trHeight w:val="398"/>
        </w:trPr>
        <w:tc>
          <w:tcPr>
            <w:tcW w:w="4525" w:type="dxa"/>
            <w:hideMark/>
          </w:tcPr>
          <w:p w14:paraId="2C93A29D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107053</w:t>
            </w:r>
          </w:p>
        </w:tc>
        <w:tc>
          <w:tcPr>
            <w:tcW w:w="5522" w:type="dxa"/>
            <w:hideMark/>
          </w:tcPr>
          <w:p w14:paraId="36D22765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47522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u-HU"/>
                <w14:ligatures w14:val="none"/>
              </w:rPr>
              <w:t>Jelzőrendszeres házi segítségnyújtás</w:t>
            </w:r>
          </w:p>
        </w:tc>
      </w:tr>
      <w:tr w:rsidR="00047522" w:rsidRPr="00047522" w14:paraId="084BC3A3" w14:textId="77777777" w:rsidTr="002C24B5">
        <w:trPr>
          <w:trHeight w:val="398"/>
        </w:trPr>
        <w:tc>
          <w:tcPr>
            <w:tcW w:w="4525" w:type="dxa"/>
          </w:tcPr>
          <w:p w14:paraId="63F89B2D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5522" w:type="dxa"/>
          </w:tcPr>
          <w:p w14:paraId="5365ED41" w14:textId="77777777" w:rsidR="00047522" w:rsidRPr="00047522" w:rsidRDefault="00047522" w:rsidP="000475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D9D02B4" w14:textId="77777777" w:rsidR="00047522" w:rsidRPr="00047522" w:rsidRDefault="00047522" w:rsidP="000475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Típusa: integrált szervezeti formában működő alapellátás, nappali intézményi formák, otthonápolási</w:t>
      </w:r>
      <w:r w:rsidRPr="00047522"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  <w:t xml:space="preserve"> tevékenységek és köznevelési intézmények részbeni működtetése. Szolgáltatásai: étkeztetés, házi segítségnyújtás, jelzőrendszeres házi segítségnyújtás, otthoni szakápolás, nappali ellátásként idősek klubja, szállító szolgáltatás, támogató szolgáltatás és a köznevelési intézmények technikai dolgozóinak irányítása.</w:t>
      </w:r>
    </w:p>
    <w:p w14:paraId="4D6E81C6" w14:textId="77777777" w:rsidR="00047522" w:rsidRPr="00047522" w:rsidRDefault="00047522" w:rsidP="00047522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0" w:line="240" w:lineRule="auto"/>
        <w:ind w:left="576" w:hanging="576"/>
        <w:jc w:val="both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</w:pPr>
      <w:bookmarkStart w:id="1" w:name="_Toc201145404"/>
      <w:r w:rsidRPr="00047522"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  <w:t>Más szerv részére végzett pénzügyi-gazdálkodási, üzemeltetési feladatok</w:t>
      </w:r>
      <w:bookmarkEnd w:id="1"/>
    </w:p>
    <w:p w14:paraId="237567DE" w14:textId="77777777" w:rsidR="00047522" w:rsidRPr="00047522" w:rsidRDefault="00047522" w:rsidP="000475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  <w:t xml:space="preserve">A TEGOSZ a Terézvárosi Család- és Gyerekjóléti Központ és a </w:t>
      </w: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 xml:space="preserve">Terézváros Önkormányzat Értelmi Fogyatékosok Napközi Otthona </w:t>
      </w:r>
      <w:r w:rsidRPr="00047522"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  <w:t>részére a fenntartó képviselő-testület döntése alapján együttműködési megállapodásban rögzítettek szerint látja el a gazdálkodási feladatokat.</w:t>
      </w:r>
    </w:p>
    <w:p w14:paraId="6A1E6871" w14:textId="77777777" w:rsidR="00047522" w:rsidRPr="00047522" w:rsidRDefault="00047522" w:rsidP="000475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A TEGOSZ bonyolítja részben a korábban az önkormányzat által fenntartott általános iskolák gyermekétkeztetési feladatait.</w:t>
      </w:r>
    </w:p>
    <w:p w14:paraId="2B99AB1E" w14:textId="77777777" w:rsidR="00047522" w:rsidRPr="00047522" w:rsidRDefault="00047522" w:rsidP="000475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Az étkeztetés szervezésével és bonyolításával kapcsolatos adminisztratív feladatokat a TEGOSZ állományába tartozó közalkalmazottak látják el.</w:t>
      </w:r>
    </w:p>
    <w:p w14:paraId="43C0699F" w14:textId="77777777" w:rsidR="00047522" w:rsidRPr="00047522" w:rsidRDefault="00047522" w:rsidP="00047522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0" w:line="240" w:lineRule="auto"/>
        <w:ind w:left="576" w:hanging="576"/>
        <w:jc w:val="both"/>
        <w:outlineLvl w:val="1"/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</w:pPr>
      <w:bookmarkStart w:id="2" w:name="_Toc201145405"/>
      <w:r w:rsidRPr="00047522">
        <w:rPr>
          <w:rFonts w:ascii="Arial Narrow" w:eastAsia="Times New Roman" w:hAnsi="Arial Narrow" w:cs="Arial"/>
          <w:b/>
          <w:bCs/>
          <w:iCs/>
          <w:kern w:val="0"/>
          <w:sz w:val="24"/>
          <w:szCs w:val="24"/>
          <w:lang w:eastAsia="hu-HU"/>
          <w14:ligatures w14:val="none"/>
        </w:rPr>
        <w:t>Munkáltatói jogkör gyakorlása a köznevelési feladatot ellátó intézmények konyhai dolgozói felett</w:t>
      </w:r>
      <w:bookmarkEnd w:id="2"/>
    </w:p>
    <w:p w14:paraId="47A0D705" w14:textId="77777777" w:rsidR="00047522" w:rsidRPr="00047522" w:rsidRDefault="00047522" w:rsidP="000475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Budapest Főváros VI. kerület Terézváros Önkormányzat Képviselő-testületének döntése alapján a Terézvárosi Gondozó Szolgálat intézményvezetője gyakorolja a munkáltatói jogokat a Bajza Utcai Általános Iskola, a Derkovits Gyula Általános Iskola, a Terézvárosi Magyar-Angol, Magyar-Német Két Tannyelvű Általános Iskola, az Erkel Ferenc Általános Iskola, a Vörösmarty Mihály Általános Iskola konyhai dolgozói, valamint uszoda karbantartó munkakörben foglalkoztatott dolgozói felett.</w:t>
      </w:r>
    </w:p>
    <w:p w14:paraId="7C043E47" w14:textId="77777777" w:rsidR="00047522" w:rsidRDefault="00047522" w:rsidP="00047522">
      <w:pPr>
        <w:spacing w:before="120" w:after="0" w:line="240" w:lineRule="auto"/>
        <w:jc w:val="both"/>
        <w:rPr>
          <w:rFonts w:ascii="Arial Narrow" w:eastAsia="Times New Roman" w:hAnsi="Arial Narrow" w:cs="Arial Narrow"/>
          <w:b/>
          <w:bCs/>
          <w:kern w:val="0"/>
          <w:sz w:val="24"/>
          <w:szCs w:val="24"/>
          <w:lang w:eastAsia="hu-HU"/>
          <w14:ligatures w14:val="none"/>
        </w:rPr>
      </w:pPr>
    </w:p>
    <w:p w14:paraId="2821B16F" w14:textId="0E1A628B" w:rsidR="00047522" w:rsidRPr="00047522" w:rsidRDefault="00047522" w:rsidP="00047522">
      <w:pPr>
        <w:spacing w:before="120"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Arial Narrow"/>
          <w:b/>
          <w:bCs/>
          <w:kern w:val="0"/>
          <w:sz w:val="24"/>
          <w:szCs w:val="24"/>
          <w:lang w:eastAsia="hu-HU"/>
          <w14:ligatures w14:val="none"/>
        </w:rPr>
        <w:t>Az intézmény működési területe:</w:t>
      </w:r>
      <w:r w:rsidRPr="00047522">
        <w:rPr>
          <w:rFonts w:ascii="Arial Narrow" w:eastAsia="Times New Roman" w:hAnsi="Arial Narrow" w:cs="Arial Narrow"/>
          <w:kern w:val="0"/>
          <w:sz w:val="24"/>
          <w:szCs w:val="24"/>
          <w:lang w:eastAsia="hu-HU"/>
          <w14:ligatures w14:val="none"/>
        </w:rPr>
        <w:t xml:space="preserve"> </w:t>
      </w: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Az intézmény működési területe</w:t>
      </w:r>
      <w:r w:rsidRPr="00047522"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  <w:t xml:space="preserve"> Budapest Főváros VI. kerület Terézváros közigazgatási területe. </w:t>
      </w:r>
      <w:bookmarkStart w:id="3" w:name="_Hlk194499697"/>
      <w:r w:rsidRPr="00047522">
        <w:rPr>
          <w:rFonts w:ascii="Arial Narrow" w:eastAsia="Times New Roman" w:hAnsi="Arial Narrow" w:cs="Times New Roman"/>
          <w:iCs/>
          <w:kern w:val="0"/>
          <w:sz w:val="24"/>
          <w:szCs w:val="24"/>
          <w:lang w:eastAsia="hu-HU"/>
          <w14:ligatures w14:val="none"/>
        </w:rPr>
        <w:t>Az intézmény a</w:t>
      </w:r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 xml:space="preserve"> Budapest Főváros VI. kerület Terézváros Önkormányzat Képviselő-testülete a személyes gondoskodást nyújtó szociális ellátásokról szóló 11/2000. (V. 8.) rendelete hatálya alá tartozó személyek részére</w:t>
      </w:r>
      <w:bookmarkEnd w:id="3"/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 xml:space="preserve"> –ha a koruk vagy egészségi, mentális állapotuk, családi körülményeik miatt arra szociálisan rászorulnak – biztosít szociális alapszolgáltatásként házi segítségnyújtást, jelzőrendszeres házi segítségnyújtást, étkeztetést, otthoni szakápolást, nappali ellátást (idősek klubja típust) az érintett kérelmére létesített jogviszony alapján, önkormányzati önként vállalt feladatként szállító szolgáltatást (Időstaxi).</w:t>
      </w:r>
    </w:p>
    <w:p w14:paraId="2FA0B11D" w14:textId="77777777" w:rsidR="00047522" w:rsidRPr="00047522" w:rsidRDefault="00047522" w:rsidP="00047522">
      <w:pPr>
        <w:spacing w:before="120"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</w:pPr>
      <w:bookmarkStart w:id="4" w:name="_Hlk194486506"/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 xml:space="preserve">Az intézmény működési területe támogató szolgáltatás vonatkozásában Budapest közigazgatási területe és Budakeszi járás. </w:t>
      </w:r>
      <w:bookmarkStart w:id="5" w:name="_Hlk194499905"/>
      <w:r w:rsidRPr="00047522">
        <w:rPr>
          <w:rFonts w:ascii="Arial Narrow" w:eastAsia="Times New Roman" w:hAnsi="Arial Narrow" w:cs="Times New Roman"/>
          <w:kern w:val="0"/>
          <w:sz w:val="24"/>
          <w:szCs w:val="24"/>
          <w:lang w:eastAsia="hu-HU"/>
          <w14:ligatures w14:val="none"/>
        </w:rPr>
        <w:t>Az intézmény a Budapest Főváros VI. kerület Terézváros Önkormányzat Képviselő-testülete a személyes gondoskodást nyújtó szociális ellátásokról szóló 11/2000. (V. 8.) rendelete hatálya alá tartozó személyek részére- ha a jogosultság feltételei fennállnak- biztosít alapszolgáltatásként támogató szolgáltatást megállapodás alapján.</w:t>
      </w:r>
    </w:p>
    <w:p w14:paraId="42B76B72" w14:textId="77777777" w:rsidR="00047522" w:rsidRPr="00047522" w:rsidRDefault="00047522" w:rsidP="00047522">
      <w:pPr>
        <w:spacing w:before="120" w:after="0" w:line="240" w:lineRule="auto"/>
        <w:jc w:val="both"/>
        <w:rPr>
          <w:rFonts w:ascii="Arial Narrow" w:eastAsia="Times New Roman" w:hAnsi="Arial Narrow" w:cs="Arial Narrow"/>
          <w:kern w:val="0"/>
          <w:sz w:val="24"/>
          <w:szCs w:val="24"/>
          <w:lang w:eastAsia="hu-HU"/>
          <w14:ligatures w14:val="none"/>
        </w:rPr>
      </w:pPr>
      <w:r w:rsidRPr="00047522">
        <w:rPr>
          <w:rFonts w:ascii="Arial Narrow" w:eastAsia="Times New Roman" w:hAnsi="Arial Narrow" w:cs="Arial Narrow"/>
          <w:kern w:val="0"/>
          <w:sz w:val="24"/>
          <w:szCs w:val="24"/>
          <w:lang w:eastAsia="hu-HU"/>
          <w14:ligatures w14:val="none"/>
        </w:rPr>
        <w:t>A támogató szolgáltatás igénybevételére a) a terézvárosi lakcímmel rendelkező és életvitelszerűen is ott tartózkodó, valamint b) - a szabad kapacitás függvényében - Terézvárost kivéve Budapest Főváros közigazgatási területén vagy a Budakeszi járás területén lakcímmel rendelkező, és életvitelszerűen is ott tartózkodó fogyatékos személy jogosult.</w:t>
      </w:r>
    </w:p>
    <w:bookmarkEnd w:id="4"/>
    <w:bookmarkEnd w:id="5"/>
    <w:p w14:paraId="64A60FDF" w14:textId="77777777" w:rsidR="0029469E" w:rsidRDefault="0029469E"/>
    <w:sectPr w:rsidR="0029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22"/>
    <w:rsid w:val="00047522"/>
    <w:rsid w:val="0029469E"/>
    <w:rsid w:val="00310DD8"/>
    <w:rsid w:val="00386D04"/>
    <w:rsid w:val="009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70A6"/>
  <w15:chartTrackingRefBased/>
  <w15:docId w15:val="{F7B59F7F-D503-42A0-93E1-52FEEA1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7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75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7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7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7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7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7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7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7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75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75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75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75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75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75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7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7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7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75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75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752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75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Perjés Tünde</dc:creator>
  <cp:keywords/>
  <dc:description/>
  <cp:lastModifiedBy>Perjés Tünde</cp:lastModifiedBy>
  <cp:revision>1</cp:revision>
  <dcterms:created xsi:type="dcterms:W3CDTF">2025-08-05T08:08:00Z</dcterms:created>
  <dcterms:modified xsi:type="dcterms:W3CDTF">2025-08-05T08:14:00Z</dcterms:modified>
</cp:coreProperties>
</file>